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628650</wp:posOffset>
            </wp:positionH>
            <wp:positionV relativeFrom="page">
              <wp:posOffset>411480</wp:posOffset>
            </wp:positionV>
            <wp:extent cx="1390981" cy="12163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981" cy="12163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.079999923706055"/>
          <w:szCs w:val="28.079999923706055"/>
          <w:rtl w:val="0"/>
        </w:rPr>
        <w:t xml:space="preserve">Capable Kids of the North Shore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Victoria Abrams-Kelly, OTR/L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900 Skokie Blvd Suite 218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Northbrook, IL 60062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(847) 242-1587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sz w:val="28.079999923706055"/>
          <w:szCs w:val="28.079999923706055"/>
        </w:rPr>
      </w:pPr>
      <w:hyperlink r:id="rId7">
        <w:r w:rsidDel="00000000" w:rsidR="00000000" w:rsidRPr="00000000">
          <w:rPr>
            <w:color w:val="1155cc"/>
            <w:sz w:val="28.079999923706055"/>
            <w:szCs w:val="28.079999923706055"/>
            <w:u w:val="single"/>
            <w:rtl w:val="0"/>
          </w:rPr>
          <w:t xml:space="preserve">capablekidsinfo@gmail.com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sz w:val="28.079999923706055"/>
          <w:szCs w:val="28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2822.857666015625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PAYMENT RECORD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2822.857666015625" w:firstLine="720"/>
        <w:jc w:val="center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0" w:right="2822.857666015625" w:firstLine="720"/>
        <w:jc w:val="center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Month: ________________</w:t>
        <w:tab/>
      </w:r>
    </w:p>
    <w:tbl>
      <w:tblPr>
        <w:tblStyle w:val="Table1"/>
        <w:tblW w:w="1080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1.25"/>
        <w:gridCol w:w="2701.25"/>
        <w:gridCol w:w="2701.25"/>
        <w:gridCol w:w="2701.25"/>
        <w:tblGridChange w:id="0">
          <w:tblGrid>
            <w:gridCol w:w="2701.25"/>
            <w:gridCol w:w="2701.25"/>
            <w:gridCol w:w="2701.25"/>
            <w:gridCol w:w="2701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sz w:val="28.079999923706055"/>
                <w:szCs w:val="28.079999923706055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sz w:val="28.079999923706055"/>
                <w:szCs w:val="28.079999923706055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sz w:val="28.079999923706055"/>
                <w:szCs w:val="28.079999923706055"/>
                <w:rtl w:val="0"/>
              </w:rPr>
              <w:t xml:space="preserve">PAYMENT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sz w:val="28.079999923706055"/>
                <w:szCs w:val="28.079999923706055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19775390625" w:line="360" w:lineRule="auto"/>
        <w:ind w:left="720" w:right="0" w:firstLine="0"/>
        <w:jc w:val="left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48.00048828125" w:left="0" w:right="715.5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pablekids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